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8D231C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8D231C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F83472" w:rsidRPr="00407B17" w:rsidRDefault="00F83472" w:rsidP="008D231C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366155">
        <w:rPr>
          <w:b/>
          <w:kern w:val="0"/>
          <w:lang w:val="ru-RU" w:eastAsia="en-US" w:bidi="ar-SA"/>
        </w:rPr>
        <w:fldChar w:fldCharType="separate"/>
      </w:r>
      <w:r w:rsidR="00366155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30.12.2022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66155">
        <w:rPr>
          <w:rFonts w:eastAsia="Times New Roman" w:cs="Times New Roman"/>
          <w:b/>
          <w:sz w:val="22"/>
          <w:szCs w:val="22"/>
          <w:lang w:val="ru-RU" w:eastAsia="ru-RU"/>
        </w:rPr>
        <w:t>Акционерное общество "РЕГИОН Эссет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A67BB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366155">
        <w:rPr>
          <w:b/>
          <w:kern w:val="0"/>
          <w:lang w:val="ru-RU" w:eastAsia="en-US" w:bidi="ar-SA"/>
        </w:rPr>
        <w:fldChar w:fldCharType="separate"/>
      </w:r>
      <w:r w:rsidR="00366155">
        <w:rPr>
          <w:b/>
          <w:kern w:val="0"/>
          <w:lang w:val="ru-RU" w:eastAsia="en-US" w:bidi="ar-SA"/>
        </w:rPr>
        <w:t>www.region-am.ru/disclosure/paevye-investitsionnye-fondy/opif-region-dokhodnye-obligatsii/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A67BB7" w:rsidRDefault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br w:type="page"/>
      </w:r>
    </w:p>
    <w:p w:rsidR="00D22B65" w:rsidRPr="00A67BB7" w:rsidRDefault="00D22B65" w:rsidP="00A67BB7">
      <w:pPr>
        <w:widowControl/>
        <w:suppressAutoHyphens w:val="0"/>
        <w:spacing w:after="200" w:line="276" w:lineRule="auto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sz w:val="22"/>
          <w:szCs w:val="22"/>
          <w:lang w:val="ru-RU"/>
        </w:rPr>
        <w:lastRenderedPageBreak/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11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FA60F3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Звездочка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 </w:t>
            </w:r>
            <w:r w:rsidR="00FA60F3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CE04BA">
            <w:pPr>
              <w:widowControl/>
              <w:suppressAutoHyphens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79,68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7,59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6,13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Комитет Финансов, RU35003GSP0,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4,48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дебиторская задолженность по купонному доходу: облигации, Минфин России, 25084RMFS,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1,01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FA60F3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 </w:t>
      </w:r>
      <w:r w:rsidR="00FA60F3" w:rsidRPr="00FA60F3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145DD1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145DD1" w:rsidTr="00F2539D">
        <w:tc>
          <w:tcPr>
            <w:tcW w:w="3190" w:type="dxa"/>
          </w:tcPr>
          <w:p w:rsidR="00C26A0D" w:rsidRPr="00407B17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155" w:rsidRPr="00145DD1" w:rsidTr="00F2539D"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155" w:rsidRPr="00145DD1" w:rsidTr="00F2539D"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155" w:rsidRPr="00145DD1" w:rsidTr="00F2539D"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66155" w:rsidRPr="00145DD1" w:rsidTr="00F2539D"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66155" w:rsidRDefault="00366155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366155" w:rsidRDefault="00366155" w:rsidP="00F2539D">
      <w:pPr>
        <w:jc w:val="both"/>
        <w:rPr>
          <w:rFonts w:cs="Times New Roman"/>
          <w:b/>
          <w:sz w:val="22"/>
          <w:szCs w:val="22"/>
          <w:lang w:val="ru-RU"/>
        </w:rPr>
      </w:pPr>
      <w:bookmarkStart w:id="0" w:name="Разрыв1"/>
      <w:bookmarkEnd w:id="0"/>
    </w:p>
    <w:p w:rsidR="00366155" w:rsidRDefault="00366155">
      <w:pPr>
        <w:widowControl/>
        <w:suppressAutoHyphens w:val="0"/>
        <w:spacing w:after="200" w:line="276" w:lineRule="auto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br w:type="page"/>
      </w:r>
    </w:p>
    <w:p w:rsidR="00127893" w:rsidRDefault="00127893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p w:rsidR="001C4017" w:rsidRDefault="00366155" w:rsidP="00AE03B1">
      <w:pPr>
        <w:autoSpaceDE w:val="0"/>
        <w:autoSpaceDN w:val="0"/>
        <w:adjustRightInd w:val="0"/>
        <w:jc w:val="both"/>
        <w:rPr>
          <w:rFonts w:cs="Times New Roman"/>
          <w:sz w:val="22"/>
          <w:szCs w:val="22"/>
          <w:lang w:val="ru-RU"/>
        </w:rPr>
      </w:pPr>
      <w:bookmarkStart w:id="1" w:name="Разрыв5"/>
      <w:bookmarkEnd w:id="1"/>
      <w:r>
        <w:rPr>
          <w:rFonts w:cs="Times New Roman"/>
          <w:b/>
          <w:sz w:val="22"/>
          <w:szCs w:val="22"/>
          <w:lang w:val="ru-RU"/>
        </w:rPr>
        <w:br/>
      </w:r>
      <w:r w:rsidR="00295CAF">
        <w:rPr>
          <w:rFonts w:cs="Times New Roman"/>
          <w:b/>
          <w:sz w:val="22"/>
          <w:szCs w:val="22"/>
          <w:lang w:val="ru-RU"/>
        </w:rPr>
        <w:fldChar w:fldCharType="begin"/>
      </w:r>
      <w:r w:rsidR="00295CAF"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>
        <w:rPr>
          <w:rFonts w:cs="Times New Roman"/>
          <w:b/>
          <w:sz w:val="22"/>
          <w:szCs w:val="22"/>
          <w:lang w:val="ru-RU"/>
        </w:rPr>
        <w:t xml:space="preserve"> </w:t>
      </w:r>
      <w:r w:rsidR="00295CAF">
        <w:rPr>
          <w:rFonts w:cs="Times New Roman"/>
          <w:b/>
          <w:sz w:val="22"/>
          <w:szCs w:val="22"/>
          <w:lang w:val="ru-RU"/>
        </w:rPr>
        <w:fldChar w:fldCharType="end"/>
      </w:r>
      <w:r w:rsidR="00D22B65" w:rsidRPr="00407B17">
        <w:rPr>
          <w:rFonts w:cs="Times New Roman"/>
          <w:sz w:val="22"/>
          <w:szCs w:val="22"/>
          <w:lang w:val="ru-RU"/>
        </w:rPr>
        <w:tab/>
      </w:r>
    </w:p>
    <w:p w:rsidR="00366155" w:rsidRDefault="00366155" w:rsidP="004E0FFA">
      <w:pPr>
        <w:rPr>
          <w:rFonts w:cs="Times New Roman"/>
          <w:iCs/>
          <w:kern w:val="0"/>
          <w:sz w:val="16"/>
          <w:szCs w:val="16"/>
          <w:lang w:val="ru-RU" w:eastAsia="en-US" w:bidi="ar-SA"/>
        </w:rPr>
      </w:pPr>
      <w:r>
        <w:rPr>
          <w:rFonts w:cs="Times New Roman"/>
          <w:iCs/>
          <w:noProof/>
          <w:kern w:val="0"/>
          <w:sz w:val="16"/>
          <w:szCs w:val="16"/>
          <w:lang w:val="ru-RU" w:eastAsia="ru-RU" w:bidi="ar-SA"/>
        </w:rPr>
        <w:drawing>
          <wp:inline distT="0" distB="0" distL="0" distR="0">
            <wp:extent cx="5715000" cy="38100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0" cy="381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53C5" w:rsidRDefault="00366155" w:rsidP="004E0FFA">
      <w:pPr>
        <w:rPr>
          <w:rFonts w:cs="Times New Roman"/>
          <w:sz w:val="22"/>
          <w:szCs w:val="22"/>
          <w:lang w:val="ru-RU"/>
        </w:rPr>
      </w:pP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(*) Доходность за 2021 г. за период с 09.02.2021 г. по 31.12.2021 г.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="00FA60F3"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  <w:bookmarkStart w:id="2" w:name="Разрыв2"/>
      <w:bookmarkEnd w:id="2"/>
      <w:r>
        <w:rPr>
          <w:rFonts w:cs="Times New Roman"/>
          <w:iCs/>
          <w:kern w:val="0"/>
          <w:sz w:val="16"/>
          <w:szCs w:val="16"/>
          <w:lang w:val="ru-RU" w:eastAsia="en-US" w:bidi="ar-SA"/>
        </w:rPr>
        <w:br/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3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0,73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-0,05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2,46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1,13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4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3,53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7,07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-4,85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66155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3"/>
    </w:tbl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1 088,36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366155">
        <w:rPr>
          <w:rFonts w:cs="Times New Roman"/>
          <w:b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sz w:val="22"/>
          <w:szCs w:val="22"/>
          <w:lang w:val="ru-RU"/>
        </w:rPr>
        <w:t>10 883 569,98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Звездочка  \* MERGEFORMAT </w:instrText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22"/>
          <w:szCs w:val="22"/>
          <w:lang w:val="ru-RU" w:eastAsia="en-US" w:bidi="ar-SA"/>
        </w:rPr>
        <w:t> </w:t>
      </w:r>
      <w:r w:rsidR="00B32932" w:rsidRPr="00B32932"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</w:p>
    <w:p w:rsidR="00B51FA6" w:rsidRPr="00B51FA6" w:rsidRDefault="00B51FA6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/>
          <w:kern w:val="0"/>
          <w:sz w:val="22"/>
          <w:szCs w:val="22"/>
          <w:lang w:val="ru-RU" w:eastAsia="en-US" w:bidi="ar-SA"/>
        </w:rPr>
      </w:pPr>
      <w:r w:rsidRPr="00B51FA6">
        <w:rPr>
          <w:rFonts w:cs="Times New Roman"/>
          <w:i/>
          <w:kern w:val="0"/>
          <w:sz w:val="22"/>
          <w:szCs w:val="22"/>
          <w:lang w:val="ru-RU" w:eastAsia="en-US" w:bidi="ar-SA"/>
        </w:rPr>
        <w:t>Комиссии, оплачиваемые один раз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366155" w:rsidRDefault="00366155">
      <w:pPr>
        <w:widowControl/>
        <w:suppressAutoHyphens w:val="0"/>
        <w:spacing w:after="200" w:line="276" w:lineRule="auto"/>
        <w:rPr>
          <w:rFonts w:cs="Times New Roman"/>
          <w:i/>
          <w:sz w:val="22"/>
          <w:szCs w:val="22"/>
          <w:lang w:val="ru-RU"/>
        </w:rPr>
      </w:pPr>
      <w:bookmarkStart w:id="4" w:name="Разрыв3"/>
      <w:bookmarkEnd w:id="4"/>
      <w:r>
        <w:rPr>
          <w:rFonts w:cs="Times New Roman"/>
          <w:i/>
          <w:sz w:val="22"/>
          <w:szCs w:val="22"/>
          <w:lang w:val="ru-RU"/>
        </w:rPr>
        <w:br w:type="page"/>
      </w:r>
    </w:p>
    <w:p w:rsidR="00C17DD5" w:rsidRDefault="00C17DD5" w:rsidP="00F2539D">
      <w:pPr>
        <w:jc w:val="both"/>
        <w:rPr>
          <w:rFonts w:cs="Times New Roman"/>
          <w:i/>
          <w:sz w:val="22"/>
          <w:szCs w:val="22"/>
          <w:lang w:val="ru-RU"/>
        </w:rPr>
      </w:pPr>
      <w:bookmarkStart w:id="5" w:name="_GoBack"/>
      <w:bookmarkEnd w:id="5"/>
    </w:p>
    <w:p w:rsidR="00623C91" w:rsidRPr="00127893" w:rsidRDefault="00F2539D" w:rsidP="001A717D">
      <w:pPr>
        <w:widowControl/>
        <w:suppressAutoHyphens w:val="0"/>
        <w:spacing w:line="276" w:lineRule="auto"/>
        <w:rPr>
          <w:rFonts w:cs="Times New Roman"/>
          <w:i/>
          <w:sz w:val="22"/>
          <w:szCs w:val="22"/>
          <w:lang w:val="ru-RU"/>
        </w:rPr>
      </w:pPr>
      <w:r w:rsidRPr="00B51FA6">
        <w:rPr>
          <w:rFonts w:cs="Times New Roman"/>
          <w:i/>
          <w:sz w:val="22"/>
          <w:szCs w:val="22"/>
          <w:lang w:val="ru-RU"/>
        </w:rPr>
        <w:t>Комиссии, оплачиваемые каждый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127893" w:rsidTr="00902BDF">
        <w:trPr>
          <w:trHeight w:val="480"/>
        </w:trPr>
        <w:tc>
          <w:tcPr>
            <w:tcW w:w="5142" w:type="dxa"/>
          </w:tcPr>
          <w:p w:rsidR="001C4017" w:rsidRPr="00127893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127893">
              <w:rPr>
                <w:rFonts w:cs="Times New Roman"/>
                <w:sz w:val="22"/>
                <w:szCs w:val="22"/>
                <w:lang w:val="ru-RU"/>
              </w:rPr>
              <w:t>Вознаграждение</w:t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r w:rsidR="001C4017" w:rsidRPr="00127893">
              <w:rPr>
                <w:rFonts w:cs="Times New Roman"/>
                <w:sz w:val="22"/>
                <w:szCs w:val="22"/>
                <w:lang w:val="ru-RU"/>
              </w:rPr>
              <w:t>Управляющей компании</w:t>
            </w:r>
          </w:p>
        </w:tc>
        <w:tc>
          <w:tcPr>
            <w:tcW w:w="2650" w:type="dxa"/>
          </w:tcPr>
          <w:p w:rsidR="001C4017" w:rsidRPr="00407B17" w:rsidRDefault="009E51AE" w:rsidP="001A717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B51FA6" w:rsidRPr="00407B17" w:rsidTr="00902BDF">
        <w:trPr>
          <w:trHeight w:val="480"/>
        </w:trPr>
        <w:tc>
          <w:tcPr>
            <w:tcW w:w="5142" w:type="dxa"/>
          </w:tcPr>
          <w:tbl>
            <w:tblPr>
              <w:tblW w:w="0" w:type="auto"/>
              <w:shd w:val="clear" w:color="auto" w:fill="FFFFFF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858"/>
              <w:gridCol w:w="20"/>
            </w:tblGrid>
            <w:tr w:rsidR="00B51FA6" w:rsidRPr="00145DD1" w:rsidTr="00B51FA6">
              <w:tc>
                <w:tcPr>
                  <w:tcW w:w="0" w:type="auto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  <w:r w:rsidRPr="00B51FA6">
                    <w:rPr>
                      <w:rFonts w:cs="Times New Roman"/>
                      <w:sz w:val="22"/>
                      <w:szCs w:val="22"/>
                      <w:lang w:val="ru-RU"/>
                    </w:rPr>
                    <w:t>Расходы, подлежащие оплате за счет активов фонда</w:t>
                  </w:r>
                </w:p>
              </w:tc>
              <w:tc>
                <w:tcPr>
                  <w:tcW w:w="20" w:type="dxa"/>
                  <w:shd w:val="clear" w:color="auto" w:fill="FFFFFF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B51FA6" w:rsidRPr="00B51FA6" w:rsidRDefault="00B51FA6" w:rsidP="00B51FA6">
                  <w:pPr>
                    <w:widowControl/>
                    <w:suppressAutoHyphens w:val="0"/>
                    <w:rPr>
                      <w:rFonts w:ascii="Segoe UI" w:eastAsia="Times New Roman" w:hAnsi="Segoe UI" w:cs="Segoe UI"/>
                      <w:color w:val="000000"/>
                      <w:kern w:val="0"/>
                      <w:sz w:val="23"/>
                      <w:szCs w:val="23"/>
                      <w:lang w:val="ru-RU" w:eastAsia="ru-RU" w:bidi="ar-SA"/>
                    </w:rPr>
                  </w:pPr>
                </w:p>
              </w:tc>
            </w:tr>
          </w:tbl>
          <w:p w:rsidR="00B51FA6" w:rsidRPr="00407B17" w:rsidRDefault="00B51FA6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</w:p>
        </w:tc>
        <w:tc>
          <w:tcPr>
            <w:tcW w:w="2650" w:type="dxa"/>
          </w:tcPr>
          <w:p w:rsidR="00B51FA6" w:rsidRPr="00407B17" w:rsidRDefault="00B51FA6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ПроцентВознагражденияПрочие  \* MERGEFORMAT </w:instrText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t>10</w:t>
            </w:r>
            <w:r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B51FA6" w:rsidRDefault="00B51FA6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B51FA6">
              <w:rPr>
                <w:rFonts w:cs="Times New Roman"/>
                <w:i/>
                <w:iCs/>
                <w:sz w:val="22"/>
                <w:szCs w:val="22"/>
                <w:lang w:val="ru-RU"/>
              </w:rPr>
              <w:t>Итого 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66155">
              <w:rPr>
                <w:rFonts w:cs="Times New Roman"/>
                <w:sz w:val="22"/>
                <w:szCs w:val="22"/>
                <w:lang w:val="ru-RU"/>
              </w:rPr>
              <w:t>11,35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366155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66155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B32932" w:rsidRPr="00B32932" w:rsidRDefault="00892A19" w:rsidP="00BE37DC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B32932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 w:rsidRPr="00B32932">
        <w:rPr>
          <w:b/>
          <w:color w:val="000000"/>
          <w:lang w:val="ru-RU"/>
        </w:rPr>
        <w:fldChar w:fldCharType="begin"/>
      </w:r>
      <w:r w:rsidR="0090135E" w:rsidRPr="00B32932">
        <w:rPr>
          <w:b/>
          <w:color w:val="000000"/>
          <w:lang w:val="ru-RU"/>
        </w:rPr>
        <w:instrText xml:space="preserve"> DOCVARIABLE  ВебСтраницаУК  \* MERGEFORMAT </w:instrText>
      </w:r>
      <w:r w:rsidR="00366155">
        <w:rPr>
          <w:b/>
          <w:color w:val="000000"/>
          <w:lang w:val="ru-RU"/>
        </w:rPr>
        <w:fldChar w:fldCharType="separate"/>
      </w:r>
      <w:r w:rsidR="00366155">
        <w:rPr>
          <w:b/>
          <w:color w:val="000000"/>
          <w:lang w:val="ru-RU"/>
        </w:rPr>
        <w:t>www.region-am.ru</w:t>
      </w:r>
      <w:r w:rsidR="0090135E" w:rsidRPr="00B32932">
        <w:rPr>
          <w:b/>
          <w:color w:val="000000"/>
          <w:lang w:val="ru-RU"/>
        </w:rPr>
        <w:fldChar w:fldCharType="end"/>
      </w:r>
      <w:r w:rsidR="003679C4" w:rsidRPr="00B32932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B3293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B3293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B32932" w:rsidRPr="00B32932" w:rsidRDefault="00B32932" w:rsidP="00B32932">
      <w:pPr>
        <w:jc w:val="both"/>
        <w:rPr>
          <w:rFonts w:cs="Times New Roman"/>
          <w:sz w:val="16"/>
          <w:szCs w:val="16"/>
          <w:lang w:val="ru-RU"/>
        </w:rPr>
      </w:pP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begin"/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instrText xml:space="preserve"> DOCVARIABLE  ТекстПриостановленногоПИФ  \* MERGEFORMAT </w:instrText>
      </w:r>
      <w:r w:rsidR="00366155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separate"/>
      </w:r>
      <w:r w:rsidR="00366155">
        <w:rPr>
          <w:rFonts w:cs="Times New Roman"/>
          <w:iCs/>
          <w:kern w:val="0"/>
          <w:sz w:val="16"/>
          <w:szCs w:val="16"/>
          <w:lang w:val="ru-RU" w:eastAsia="en-US" w:bidi="ar-SA"/>
        </w:rPr>
        <w:t> </w:t>
      </w:r>
      <w:r w:rsidRPr="00B32932">
        <w:rPr>
          <w:rFonts w:cs="Times New Roman"/>
          <w:iCs/>
          <w:kern w:val="0"/>
          <w:sz w:val="16"/>
          <w:szCs w:val="16"/>
          <w:lang w:val="ru-RU" w:eastAsia="en-US" w:bidi="ar-SA"/>
        </w:rPr>
        <w:fldChar w:fldCharType="end"/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bookmarkStart w:id="6" w:name="Разрыв4"/>
      <w:bookmarkEnd w:id="6"/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"РЕГИОН Эссет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366155">
        <w:rPr>
          <w:b/>
          <w:lang w:val="ru-RU"/>
        </w:rPr>
        <w:fldChar w:fldCharType="separate"/>
      </w:r>
      <w:r w:rsidR="00366155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366155">
        <w:rPr>
          <w:b/>
          <w:kern w:val="0"/>
          <w:lang w:val="ru-RU" w:eastAsia="en-US" w:bidi="ar-SA"/>
        </w:rPr>
        <w:fldChar w:fldCharType="separate"/>
      </w:r>
      <w:r w:rsidR="00366155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66155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366155">
        <w:rPr>
          <w:b/>
          <w:kern w:val="0"/>
          <w:lang w:val="ru-RU" w:eastAsia="en-US" w:bidi="ar-SA"/>
        </w:rPr>
        <w:fldChar w:fldCharType="separate"/>
      </w:r>
      <w:r w:rsidR="00366155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 w:rsidSect="009A6E3F">
      <w:footerReference w:type="default" r:id="rId9"/>
      <w:pgSz w:w="11906" w:h="16838"/>
      <w:pgMar w:top="709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155" w:rsidRDefault="00366155" w:rsidP="00F2539D">
      <w:r>
        <w:separator/>
      </w:r>
    </w:p>
  </w:endnote>
  <w:endnote w:type="continuationSeparator" w:id="0">
    <w:p w:rsidR="00366155" w:rsidRDefault="00366155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66155" w:rsidRPr="00366155">
          <w:rPr>
            <w:noProof/>
            <w:lang w:val="ru-RU"/>
          </w:rPr>
          <w:t>3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155" w:rsidRDefault="00366155" w:rsidP="00F2539D">
      <w:r>
        <w:separator/>
      </w:r>
    </w:p>
  </w:footnote>
  <w:footnote w:type="continuationSeparator" w:id="0">
    <w:p w:rsidR="00366155" w:rsidRDefault="00366155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www.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0.12.2022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79,68"/>
    <w:docVar w:name="ДоляКрупнейшегоОбъектаИнвестирования2" w:val="7,59"/>
    <w:docVar w:name="ДоляКрупнейшегоОбъектаИнвестирования3" w:val="6,13"/>
    <w:docVar w:name="ДоляКрупнейшегоОбъектаИнвестирования4" w:val="4,48"/>
    <w:docVar w:name="ДоляКрупнейшегоОбъектаИнвестирования5" w:val="1,01"/>
    <w:docVar w:name="Доходность1Год" w:val="7,07"/>
    <w:docVar w:name="Доходность1Месяц" w:val="0,73"/>
    <w:docVar w:name="Доходность3Года" w:val="-"/>
    <w:docVar w:name="Доходность3Месяца" w:val="2,46"/>
    <w:docVar w:name="Доходность5Лет" w:val="-"/>
    <w:docVar w:name="Доходность6Месяцев" w:val="4"/>
    <w:docVar w:name="Звездочка" w:val=" "/>
    <w:docVar w:name="КоличествоОбъектовИнвестирования" w:val="11"/>
    <w:docVar w:name="КрупнейшийОбъектИнвестирования1" w:val="облигации, Минфин России, 25084RMFS, RUB"/>
    <w:docVar w:name="КрупнейшийОбъектИнвестирования2" w:val="облигации, ПАО Сбербанк, 4B02-264-01481-B-001P, RUB"/>
    <w:docVar w:name="КрупнейшийОбъектИнвестирования3" w:val="облигации, ОАО &quot;РЖД&quot;, 4B02-07-65045-D-001P, RUB"/>
    <w:docVar w:name="КрупнейшийОбъектИнвестирования4" w:val="облигации, Комитет Финансов, RU35003GSP0, RUB"/>
    <w:docVar w:name="КрупнейшийОбъектИнвестирования5" w:val="дебиторская задолженность по купонному доходу: облигации, Минфин России, 25084RMFS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4,85"/>
    <w:docVar w:name="ОтклонениеОтИнфляции1Месяц" w:val="-0,05"/>
    <w:docVar w:name="ОтклонениеОтИнфляции3Года" w:val="-"/>
    <w:docVar w:name="ОтклонениеОтИнфляции3Месяца" w:val="1,13"/>
    <w:docVar w:name="ОтклонениеОтИнфляции5Лет" w:val="-"/>
    <w:docVar w:name="ОтклонениеОтИнфляции6Месяцев" w:val="3,53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1,35"/>
    <w:docVar w:name="ПроцентВознагражденияПрочие" w:val="10"/>
    <w:docVar w:name="ПроцентВознагражденияСД" w:val="0,6"/>
    <w:docVar w:name="ПроцентВознагражденияУК" w:val="0,75"/>
    <w:docVar w:name="СтоимостьПая" w:val="1 088,36"/>
    <w:docVar w:name="СЧА" w:val="10 883 569,98"/>
    <w:docVar w:name="ТекстПриостановленногоПИФ" w:val=" "/>
    <w:docVar w:name="ТелефонУК" w:val="+7 (495) 777-29-64"/>
    <w:docVar w:name="Факт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  <w:docVar w:name="ЮридическийАдресУК" w:val="РОССИЯ, 123112, Город Москва, внутригородская территория (внутригородское муниципальное образование) города федерального значения муниципальный округ Пресненский, проезд 1-й Красногвардейский , Дом 22, Строение 1, Этаж 16, Помещение А16, Комната 7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27893"/>
    <w:rsid w:val="0013159A"/>
    <w:rsid w:val="00145DD1"/>
    <w:rsid w:val="00155F7B"/>
    <w:rsid w:val="001611EB"/>
    <w:rsid w:val="00163C0B"/>
    <w:rsid w:val="001A6B35"/>
    <w:rsid w:val="001A717D"/>
    <w:rsid w:val="001C0693"/>
    <w:rsid w:val="001C4017"/>
    <w:rsid w:val="001F0E12"/>
    <w:rsid w:val="0021609B"/>
    <w:rsid w:val="0023537F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66155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0FFA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6F780E"/>
    <w:rsid w:val="00700C5D"/>
    <w:rsid w:val="00706FAB"/>
    <w:rsid w:val="007176D8"/>
    <w:rsid w:val="007337A5"/>
    <w:rsid w:val="0074707D"/>
    <w:rsid w:val="00754BA4"/>
    <w:rsid w:val="00760F6A"/>
    <w:rsid w:val="0077660D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D231C"/>
    <w:rsid w:val="008E2703"/>
    <w:rsid w:val="0090135E"/>
    <w:rsid w:val="00902BDF"/>
    <w:rsid w:val="00911334"/>
    <w:rsid w:val="00924286"/>
    <w:rsid w:val="00933339"/>
    <w:rsid w:val="00940529"/>
    <w:rsid w:val="00941C53"/>
    <w:rsid w:val="0095395D"/>
    <w:rsid w:val="0096501B"/>
    <w:rsid w:val="009665A3"/>
    <w:rsid w:val="00981F21"/>
    <w:rsid w:val="00990C05"/>
    <w:rsid w:val="009A6E3F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67BB7"/>
    <w:rsid w:val="00AA1E52"/>
    <w:rsid w:val="00AA382B"/>
    <w:rsid w:val="00AD04F9"/>
    <w:rsid w:val="00AD5049"/>
    <w:rsid w:val="00AE03B1"/>
    <w:rsid w:val="00B04BF1"/>
    <w:rsid w:val="00B32932"/>
    <w:rsid w:val="00B40A3C"/>
    <w:rsid w:val="00B51FA6"/>
    <w:rsid w:val="00B52DDB"/>
    <w:rsid w:val="00B65F91"/>
    <w:rsid w:val="00B74175"/>
    <w:rsid w:val="00B8300E"/>
    <w:rsid w:val="00BC17C9"/>
    <w:rsid w:val="00BC5CDA"/>
    <w:rsid w:val="00BE7AE9"/>
    <w:rsid w:val="00BF53C5"/>
    <w:rsid w:val="00C05063"/>
    <w:rsid w:val="00C17DD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55E71"/>
    <w:rsid w:val="00D723DD"/>
    <w:rsid w:val="00D76792"/>
    <w:rsid w:val="00D927BD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57602"/>
    <w:rsid w:val="00F718E6"/>
    <w:rsid w:val="00F81E21"/>
    <w:rsid w:val="00F83472"/>
    <w:rsid w:val="00F97A97"/>
    <w:rsid w:val="00FA3C69"/>
    <w:rsid w:val="00FA60F3"/>
    <w:rsid w:val="00FB07BD"/>
    <w:rsid w:val="00FB292F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D1B54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5">
    <w:name w:val="Normal (Web)"/>
    <w:basedOn w:val="a"/>
    <w:uiPriority w:val="99"/>
    <w:semiHidden/>
    <w:unhideWhenUsed/>
    <w:rsid w:val="00B51FA6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val="ru-RU" w:eastAsia="ru-RU" w:bidi="ar-SA"/>
    </w:rPr>
  </w:style>
  <w:style w:type="character" w:styleId="af6">
    <w:name w:val="Emphasis"/>
    <w:basedOn w:val="a0"/>
    <w:uiPriority w:val="20"/>
    <w:qFormat/>
    <w:rsid w:val="00B51FA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62591-1E9D-4BF3-BD12-5A92FF674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1840</Words>
  <Characters>10493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Головин Андрей Владимирович</cp:lastModifiedBy>
  <cp:revision>1</cp:revision>
  <dcterms:created xsi:type="dcterms:W3CDTF">2023-01-16T06:03:00Z</dcterms:created>
  <dcterms:modified xsi:type="dcterms:W3CDTF">2023-01-16T06:04:00Z</dcterms:modified>
</cp:coreProperties>
</file>